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left"/>
        <w:rPr>
          <w:b w:val="1"/>
          <w:bCs w:val="1"/>
          <w:sz w:val="32"/>
          <w:szCs w:val="32"/>
        </w:rPr>
      </w:pPr>
      <w:r w:rsidDel="00000000" w:rsidR="00000000" w:rsidRPr="00000000">
        <w:rPr>
          <w:b w:val="1"/>
          <w:bCs w:val="1"/>
          <w:sz w:val="32"/>
          <w:szCs w:val="32"/>
          <w:rtl w:val="0"/>
        </w:rPr>
        <w:t xml:space="preserve">32º Congresso Paulista de Obstetrícia e Ginecologia</w:t>
      </w:r>
    </w:p>
    <w:p w:rsidR="00000000" w:rsidDel="00000000" w:rsidP="00000000" w:rsidRDefault="00000000" w:rsidRPr="00000000" w14:paraId="00000002">
      <w:pPr>
        <w:ind w:right="-100"/>
        <w:rPr>
          <w:b w:val="1"/>
          <w:bCs w:val="1"/>
        </w:rPr>
      </w:pPr>
      <w:r w:rsidDel="00000000" w:rsidR="00000000" w:rsidRPr="00000000">
        <w:rPr>
          <w:b w:val="1"/>
          <w:bCs w:val="1"/>
          <w:rtl w:val="0"/>
        </w:rPr>
        <w:t xml:space="preserve">19 a 21 de agosto de 2027</w:t>
      </w:r>
    </w:p>
    <w:p w:rsidR="00000000" w:rsidDel="00000000" w:rsidP="00000000" w:rsidRDefault="00000000" w:rsidRPr="00000000" w14:paraId="00000003">
      <w:pPr>
        <w:ind w:right="-100"/>
        <w:rPr>
          <w:b w:val="1"/>
          <w:bCs w:val="1"/>
        </w:rPr>
      </w:pPr>
      <w:r w:rsidDel="00000000" w:rsidR="00000000" w:rsidRPr="00000000">
        <w:rPr>
          <w:b w:val="1"/>
          <w:bCs w:val="1"/>
          <w:rtl w:val="0"/>
        </w:rPr>
        <w:t xml:space="preserve">Transamerica Expo Center - São Paulo, SP</w:t>
        <w:br w:type="textWrapping"/>
      </w:r>
    </w:p>
    <w:p w:rsidR="00000000" w:rsidDel="00000000" w:rsidP="00000000" w:rsidRDefault="00000000" w:rsidRPr="00000000" w14:paraId="00000004">
      <w:pPr>
        <w:ind w:right="-100"/>
        <w:jc w:val="both"/>
        <w:rPr>
          <w:b w:val="1"/>
          <w:bCs w:val="1"/>
        </w:rPr>
      </w:pPr>
      <w:r w:rsidDel="00000000" w:rsidR="00000000" w:rsidRPr="00000000">
        <w:rPr>
          <w:b w:val="1"/>
          <w:bCs w:val="1"/>
          <w:rtl w:val="0"/>
        </w:rPr>
        <w:t xml:space="preserve">Formato: presencial (preferencialmente), virtual ou híbrido (na hipótese de serem implementados protocolos de controle de pandemia, epidemia, endemia ou de qualquer outra circunstância de saúde pública e de determinações das autoridades sanitárias).</w:t>
      </w:r>
    </w:p>
    <w:p w:rsidR="00000000" w:rsidDel="00000000" w:rsidP="00000000" w:rsidRDefault="00000000" w:rsidRPr="00000000" w14:paraId="00000005">
      <w:pPr>
        <w:ind w:right="-100"/>
        <w:rPr>
          <w:b w:val="1"/>
          <w:bCs w:val="1"/>
        </w:rPr>
      </w:pPr>
      <w:r w:rsidDel="00000000" w:rsidR="00000000" w:rsidRPr="00000000">
        <w:rPr>
          <w:b w:val="1"/>
          <w:bCs w:val="1"/>
          <w:rtl w:val="0"/>
        </w:rPr>
        <w:t xml:space="preserve"> </w:t>
      </w:r>
    </w:p>
    <w:p w:rsidR="00000000" w:rsidDel="00000000" w:rsidP="00000000" w:rsidRDefault="00000000" w:rsidRPr="00000000" w14:paraId="00000006">
      <w:pPr>
        <w:ind w:right="-100"/>
        <w:jc w:val="center"/>
        <w:rPr>
          <w:b w:val="1"/>
          <w:bCs w:val="1"/>
        </w:rPr>
      </w:pPr>
      <w:r w:rsidDel="00000000" w:rsidR="00000000" w:rsidRPr="00000000">
        <w:rPr>
          <w:b w:val="1"/>
          <w:bCs w:val="1"/>
          <w:rtl w:val="0"/>
        </w:rPr>
        <w:t xml:space="preserve">FIIM – FORMULÁRIO DE INTENÇÃO DE INVESTIMENTO MÍNIMO</w:t>
      </w:r>
    </w:p>
    <w:p w:rsidR="00000000" w:rsidDel="00000000" w:rsidP="00000000" w:rsidRDefault="00000000" w:rsidRPr="00000000" w14:paraId="00000007">
      <w:pPr>
        <w:ind w:right="-100"/>
        <w:rPr>
          <w:b w:val="1"/>
          <w:bCs w:val="1"/>
        </w:rPr>
      </w:pPr>
      <w:r w:rsidDel="00000000" w:rsidR="00000000" w:rsidRPr="00000000">
        <w:rPr>
          <w:rtl w:val="0"/>
        </w:rPr>
      </w:r>
    </w:p>
    <w:p w:rsidR="00000000" w:rsidDel="00000000" w:rsidP="00000000" w:rsidRDefault="00000000" w:rsidRPr="00000000" w14:paraId="00000008">
      <w:pPr>
        <w:ind w:right="-100"/>
        <w:jc w:val="both"/>
        <w:rPr/>
      </w:pPr>
      <w:r w:rsidDel="00000000" w:rsidR="00000000" w:rsidRPr="00000000">
        <w:rPr>
          <w:rtl w:val="0"/>
        </w:rPr>
        <w:t xml:space="preserve">______________________________________________________________________________________________(nome da empresa/instituição), inscrita no CNPJ/MF sob o n.º ___________________________________________, neste ato representada por ___________________________________________________ (nome completo), ___________________________________________________ (cargo), vem, por intermédio deste Formulário de Intenção de Investimento Mínimo, comunicar e formalizar perante a Associação de Obstetrícia e Ginecologia do Estado de São Paulo – SOGESP que, para efeito de apuração e contagem de pontos para o ranqueamento relativo à participação da Reunião de Apresentação das Possibilidades de Patrocínio do 32º Congresso Paulista de Obstetrícia e Ginecologia (“Evento” ou “31º Congresso Paulista”), tem como intenção mínima de patrocínio/participação o valor de: R$_______________________________ (______________________________________________________), que será revertido em itens de patrocínio a serem contratados, a depender, inclusive, do formato de realização do Evento.</w:t>
      </w:r>
    </w:p>
    <w:p w:rsidR="00000000" w:rsidDel="00000000" w:rsidP="00000000" w:rsidRDefault="00000000" w:rsidRPr="00000000" w14:paraId="00000009">
      <w:pPr>
        <w:ind w:right="-100"/>
        <w:jc w:val="both"/>
        <w:rPr/>
      </w:pPr>
      <w:r w:rsidDel="00000000" w:rsidR="00000000" w:rsidRPr="00000000">
        <w:rPr>
          <w:rtl w:val="0"/>
        </w:rPr>
      </w:r>
    </w:p>
    <w:p w:rsidR="00000000" w:rsidDel="00000000" w:rsidP="00000000" w:rsidRDefault="00000000" w:rsidRPr="00000000" w14:paraId="0000000A">
      <w:pPr>
        <w:ind w:right="-100"/>
        <w:jc w:val="both"/>
        <w:rPr/>
      </w:pPr>
      <w:r w:rsidDel="00000000" w:rsidR="00000000" w:rsidRPr="00000000">
        <w:rPr>
          <w:rtl w:val="0"/>
        </w:rPr>
        <w:t xml:space="preserve">Caso o Evento não seja totalmente presencial, o valor e os itens de patrocínio poderão ser ajustados para adequação ao novo formato.</w:t>
      </w:r>
    </w:p>
    <w:p w:rsidR="00000000" w:rsidDel="00000000" w:rsidP="00000000" w:rsidRDefault="00000000" w:rsidRPr="00000000" w14:paraId="0000000B">
      <w:pPr>
        <w:ind w:right="-100"/>
        <w:jc w:val="both"/>
        <w:rPr/>
      </w:pPr>
      <w:r w:rsidDel="00000000" w:rsidR="00000000" w:rsidRPr="00000000">
        <w:rPr>
          <w:rtl w:val="0"/>
        </w:rPr>
        <w:t xml:space="preserve"> </w:t>
      </w:r>
    </w:p>
    <w:p w:rsidR="00000000" w:rsidDel="00000000" w:rsidP="00000000" w:rsidRDefault="00000000" w:rsidRPr="00000000" w14:paraId="0000000C">
      <w:pPr>
        <w:ind w:right="-100"/>
        <w:jc w:val="both"/>
        <w:rPr/>
      </w:pPr>
      <w:r w:rsidDel="00000000" w:rsidR="00000000" w:rsidRPr="00000000">
        <w:rPr>
          <w:rtl w:val="0"/>
        </w:rPr>
        <w:t xml:space="preserve">Declaro, neste ato, para todos os fins e efeitos de direito, que tenho total ciência e conhecimento de que:</w:t>
      </w:r>
    </w:p>
    <w:p w:rsidR="00000000" w:rsidDel="00000000" w:rsidP="00000000" w:rsidRDefault="00000000" w:rsidRPr="00000000" w14:paraId="0000000D">
      <w:pPr>
        <w:ind w:right="-100"/>
        <w:rPr/>
      </w:pPr>
      <w:r w:rsidDel="00000000" w:rsidR="00000000" w:rsidRPr="00000000">
        <w:rPr>
          <w:rtl w:val="0"/>
        </w:rPr>
        <w:t xml:space="preserve"> </w:t>
      </w:r>
    </w:p>
    <w:p w:rsidR="00000000" w:rsidDel="00000000" w:rsidP="00000000" w:rsidRDefault="00000000" w:rsidRPr="00000000" w14:paraId="0000000E">
      <w:pPr>
        <w:ind w:right="-100"/>
        <w:jc w:val="both"/>
        <w:rPr/>
      </w:pPr>
      <w:r w:rsidDel="00000000" w:rsidR="00000000" w:rsidRPr="00000000">
        <w:rPr>
          <w:rtl w:val="0"/>
        </w:rPr>
        <w:t xml:space="preserve">1.        O valor indicado acima será revertido em pontos na forma constante no documento de Propostas de Patrocínios (“Caderno de Patrocínios”), e será considerado para o cálculo de posicionamento na lista no momento da chamada ao anúncio de patrocínio (“Reunião”).</w:t>
      </w:r>
    </w:p>
    <w:p w:rsidR="00000000" w:rsidDel="00000000" w:rsidP="00000000" w:rsidRDefault="00000000" w:rsidRPr="00000000" w14:paraId="0000000F">
      <w:pPr>
        <w:ind w:right="-100"/>
        <w:jc w:val="both"/>
        <w:rPr/>
      </w:pPr>
      <w:r w:rsidDel="00000000" w:rsidR="00000000" w:rsidRPr="00000000">
        <w:rPr>
          <w:rtl w:val="0"/>
        </w:rPr>
      </w:r>
    </w:p>
    <w:p w:rsidR="00000000" w:rsidDel="00000000" w:rsidP="00000000" w:rsidRDefault="00000000" w:rsidRPr="00000000" w14:paraId="00000010">
      <w:pPr>
        <w:ind w:right="-100"/>
        <w:jc w:val="both"/>
        <w:rPr/>
      </w:pPr>
      <w:r w:rsidDel="00000000" w:rsidR="00000000" w:rsidRPr="00000000">
        <w:rPr>
          <w:rtl w:val="0"/>
        </w:rPr>
        <w:t xml:space="preserve">2.        A não entrega do presente formulário no prazo descrito no Caderno de Patrocínios, será considerada pela SOGESP, para fins de ranqueamento, como investimento nulo para 2027.</w:t>
      </w:r>
    </w:p>
    <w:p w:rsidR="00000000" w:rsidDel="00000000" w:rsidP="00000000" w:rsidRDefault="00000000" w:rsidRPr="00000000" w14:paraId="00000011">
      <w:pPr>
        <w:ind w:right="-100"/>
        <w:jc w:val="both"/>
        <w:rPr/>
      </w:pPr>
      <w:r w:rsidDel="00000000" w:rsidR="00000000" w:rsidRPr="00000000">
        <w:rPr>
          <w:rtl w:val="0"/>
        </w:rPr>
      </w:r>
    </w:p>
    <w:p w:rsidR="00000000" w:rsidDel="00000000" w:rsidP="00000000" w:rsidRDefault="00000000" w:rsidRPr="00000000" w14:paraId="00000012">
      <w:pPr>
        <w:ind w:right="-100"/>
        <w:jc w:val="both"/>
        <w:rPr/>
      </w:pPr>
      <w:r w:rsidDel="00000000" w:rsidR="00000000" w:rsidRPr="00000000">
        <w:rPr>
          <w:rtl w:val="0"/>
        </w:rPr>
        <w:t xml:space="preserve">3.        Qualquer redução no valor do investimento declarado neste documento, e noticiado até o momento do início da Reunião, resultará na perda imediata de duas posições de classificação no Ranking. Nesse caso, serão realizados novos cálculos com base no valor do investimento atualizado, além da perda de duas posições no Ranking.</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4.</w:t>
        <w:tab/>
        <w:t xml:space="preserve">Além disso, a redução do valor de investimento aqui previsto resultará na perda dos descontos exclusivos praticados em Reunião, sendo elaborada uma nova proposta com os valores atualizados, conforme as tabelas presentes no Caderno de Patrocínios.</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 5.</w:t>
        <w:tab/>
        <w:t xml:space="preserve">     A proposta e reserva dos itens escolhidos em Reunião serão garantidas e efetivadas para empresas que assinarem o contrato até dia 15/03/2027.</w:t>
      </w:r>
    </w:p>
    <w:p w:rsidR="00000000" w:rsidDel="00000000" w:rsidP="00000000" w:rsidRDefault="00000000" w:rsidRPr="00000000" w14:paraId="00000015">
      <w:pPr>
        <w:ind w:right="-100"/>
        <w:jc w:val="both"/>
        <w:rPr/>
      </w:pPr>
      <w:r w:rsidDel="00000000" w:rsidR="00000000" w:rsidRPr="00000000">
        <w:rPr>
          <w:rtl w:val="0"/>
        </w:rPr>
        <w:t xml:space="preserve">6.        </w:t>
        <w:tab/>
        <w:t xml:space="preserve">    O presente documento tem força vinculativa, obrigando as partes ao seu fiel e integral cumprimento para todos os fins de direito.</w:t>
      </w:r>
    </w:p>
    <w:p w:rsidR="00000000" w:rsidDel="00000000" w:rsidP="00000000" w:rsidRDefault="00000000" w:rsidRPr="00000000" w14:paraId="00000016">
      <w:pPr>
        <w:ind w:right="-100"/>
        <w:jc w:val="both"/>
        <w:rPr/>
      </w:pPr>
      <w:r w:rsidDel="00000000" w:rsidR="00000000" w:rsidRPr="00000000">
        <w:rPr>
          <w:rtl w:val="0"/>
        </w:rPr>
      </w:r>
    </w:p>
    <w:p w:rsidR="00000000" w:rsidDel="00000000" w:rsidP="00000000" w:rsidRDefault="00000000" w:rsidRPr="00000000" w14:paraId="00000017">
      <w:pPr>
        <w:ind w:right="-100"/>
        <w:jc w:val="both"/>
        <w:rPr/>
      </w:pPr>
      <w:r w:rsidDel="00000000" w:rsidR="00000000" w:rsidRPr="00000000">
        <w:rPr>
          <w:rtl w:val="0"/>
        </w:rPr>
        <w:t xml:space="preserve">7.</w:t>
        <w:tab/>
        <w:t xml:space="preserve">    O presente documento, após firmado pela empresa/instituição patrocinadora, se for anulado, cancelado ou alterado, no período que antecede 120 (cento e vinte) dias do 32º Congresso Paulista, terá como consequência a suspensão da empresa/instituição das atividades e eventos da SOGESP pelo período de 02 (dois) anos consecutivos.</w:t>
      </w:r>
    </w:p>
    <w:p w:rsidR="00000000" w:rsidDel="00000000" w:rsidP="00000000" w:rsidRDefault="00000000" w:rsidRPr="00000000" w14:paraId="00000018">
      <w:pPr>
        <w:ind w:right="-100"/>
        <w:rPr/>
      </w:pPr>
      <w:r w:rsidDel="00000000" w:rsidR="00000000" w:rsidRPr="00000000">
        <w:rPr>
          <w:rtl w:val="0"/>
        </w:rPr>
        <w:t xml:space="preserve"> </w:t>
      </w:r>
    </w:p>
    <w:p w:rsidR="00000000" w:rsidDel="00000000" w:rsidP="00000000" w:rsidRDefault="00000000" w:rsidRPr="00000000" w14:paraId="00000019">
      <w:pPr>
        <w:rPr/>
      </w:pPr>
      <w:r w:rsidDel="00000000" w:rsidR="00000000" w:rsidRPr="00000000">
        <w:rPr>
          <w:rtl w:val="0"/>
        </w:rPr>
        <w:t xml:space="preserve">São Paulo, _______ de _______________________________ de 2026.</w:t>
      </w:r>
    </w:p>
    <w:p w:rsidR="00000000" w:rsidDel="00000000" w:rsidP="00000000" w:rsidRDefault="00000000" w:rsidRPr="00000000" w14:paraId="0000001A">
      <w:pPr>
        <w:ind w:right="-100"/>
        <w:rPr/>
      </w:pPr>
      <w:r w:rsidDel="00000000" w:rsidR="00000000" w:rsidRPr="00000000">
        <w:rPr>
          <w:rtl w:val="0"/>
        </w:rPr>
      </w:r>
    </w:p>
    <w:p w:rsidR="00000000" w:rsidDel="00000000" w:rsidP="00000000" w:rsidRDefault="00000000" w:rsidRPr="00000000" w14:paraId="0000001B">
      <w:pPr>
        <w:ind w:right="-100"/>
        <w:rPr/>
      </w:pPr>
      <w:r w:rsidDel="00000000" w:rsidR="00000000" w:rsidRPr="00000000">
        <w:rPr>
          <w:rtl w:val="0"/>
        </w:rPr>
      </w:r>
    </w:p>
    <w:p w:rsidR="00000000" w:rsidDel="00000000" w:rsidP="00000000" w:rsidRDefault="00000000" w:rsidRPr="00000000" w14:paraId="0000001C">
      <w:pPr>
        <w:ind w:right="-100"/>
        <w:rPr/>
      </w:pPr>
      <w:r w:rsidDel="00000000" w:rsidR="00000000" w:rsidRPr="00000000">
        <w:rPr>
          <w:rtl w:val="0"/>
        </w:rPr>
      </w:r>
    </w:p>
    <w:p w:rsidR="00000000" w:rsidDel="00000000" w:rsidP="00000000" w:rsidRDefault="00000000" w:rsidRPr="00000000" w14:paraId="0000001D">
      <w:pPr>
        <w:ind w:right="-100"/>
        <w:rPr/>
      </w:pPr>
      <w:r w:rsidDel="00000000" w:rsidR="00000000" w:rsidRPr="00000000">
        <w:rPr>
          <w:rtl w:val="0"/>
        </w:rPr>
        <w:t xml:space="preserve">_____________________________________________________</w:t>
      </w:r>
    </w:p>
    <w:p w:rsidR="00000000" w:rsidDel="00000000" w:rsidP="00000000" w:rsidRDefault="00000000" w:rsidRPr="00000000" w14:paraId="0000001E">
      <w:pPr>
        <w:ind w:right="-100"/>
        <w:rPr>
          <w:b w:val="1"/>
          <w:bCs w:val="1"/>
          <w:sz w:val="32"/>
          <w:szCs w:val="32"/>
        </w:rPr>
      </w:pPr>
      <w:r w:rsidDel="00000000" w:rsidR="00000000" w:rsidRPr="00000000">
        <w:rPr>
          <w:rtl w:val="0"/>
        </w:rPr>
        <w:t xml:space="preserve">Assinatura e Carimbo da Empresa/Instituição</w:t>
      </w:r>
      <w:r w:rsidDel="00000000" w:rsidR="00000000" w:rsidRPr="00000000">
        <w:rPr>
          <w:rtl w:val="0"/>
        </w:rPr>
      </w:r>
    </w:p>
    <w:sectPr>
      <w:headerReference r:id="rId7" w:type="default"/>
      <w:footerReference r:id="rId8" w:type="default"/>
      <w:pgSz w:h="16840" w:w="11900"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965363" cy="34735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65363" cy="34735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tabs>
        <w:tab w:val="center" w:leader="none" w:pos="4252"/>
        <w:tab w:val="right" w:leader="none" w:pos="8504"/>
      </w:tabs>
      <w:spacing w:after="240" w:before="240" w:lineRule="auto"/>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b w:val="1"/>
        <w:bCs w:val="1"/>
        <w:sz w:val="32"/>
        <w:szCs w:val="32"/>
      </w:rPr>
      <w:drawing>
        <wp:inline distB="114300" distT="114300" distL="114300" distR="114300">
          <wp:extent cx="2081213" cy="1161256"/>
          <wp:effectExtent b="0" l="0" r="0" t="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081213" cy="116125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0"/>
    <w:tblPr>
      <w:tblCellMar>
        <w:top w:w="0.0" w:type="dxa"/>
        <w:left w:w="0.0" w:type="dxa"/>
        <w:bottom w:w="0.0" w:type="dxa"/>
        <w:right w:w="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ListaColorida-nfase11" w:customStyle="1">
    <w:name w:val="Lista Colorida - Ênfase 11"/>
    <w:basedOn w:val="Normal"/>
    <w:uiPriority w:val="34"/>
    <w:qFormat w:val="1"/>
    <w:rsid w:val="00F22E7C"/>
    <w:pPr>
      <w:ind w:left="720"/>
      <w:contextualSpacing w:val="1"/>
    </w:pPr>
  </w:style>
  <w:style w:type="table" w:styleId="Tabelacomgrade">
    <w:name w:val="Table Grid"/>
    <w:basedOn w:val="Tabelanormal"/>
    <w:uiPriority w:val="59"/>
    <w:rsid w:val="00F22E7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501EB8"/>
    <w:pPr>
      <w:widowControl w:val="0"/>
      <w:autoSpaceDE w:val="0"/>
      <w:autoSpaceDN w:val="0"/>
      <w:adjustRightInd w:val="0"/>
    </w:pPr>
    <w:rPr>
      <w:rFonts w:ascii="Proxima Nova Rg" w:cs="Proxima Nova Rg" w:hAnsi="Proxima Nova Rg"/>
      <w:color w:val="000000"/>
      <w:lang w:eastAsia="en-US" w:val="en-US"/>
    </w:rPr>
  </w:style>
  <w:style w:type="paragraph" w:styleId="Pa6" w:customStyle="1">
    <w:name w:val="Pa6"/>
    <w:basedOn w:val="Default"/>
    <w:next w:val="Default"/>
    <w:uiPriority w:val="99"/>
    <w:rsid w:val="00501EB8"/>
    <w:pPr>
      <w:spacing w:line="221" w:lineRule="atLeast"/>
    </w:pPr>
    <w:rPr>
      <w:rFonts w:cs="Times New Roman"/>
      <w:color w:val="auto"/>
    </w:rPr>
  </w:style>
  <w:style w:type="character" w:styleId="Hyperlink">
    <w:name w:val="Hyperlink"/>
    <w:uiPriority w:val="99"/>
    <w:unhideWhenUsed w:val="1"/>
    <w:rsid w:val="00071BB9"/>
    <w:rPr>
      <w:color w:val="0000ff"/>
      <w:u w:val="single"/>
    </w:rPr>
  </w:style>
  <w:style w:type="paragraph" w:styleId="00-Normal" w:customStyle="1">
    <w:name w:val="00-Normal"/>
    <w:basedOn w:val="Normal"/>
    <w:uiPriority w:val="99"/>
    <w:rsid w:val="000979E5"/>
    <w:pPr>
      <w:widowControl w:val="0"/>
      <w:autoSpaceDE w:val="0"/>
      <w:autoSpaceDN w:val="0"/>
      <w:adjustRightInd w:val="0"/>
      <w:spacing w:line="280" w:lineRule="atLeast"/>
      <w:jc w:val="both"/>
      <w:textAlignment w:val="center"/>
    </w:pPr>
    <w:rPr>
      <w:rFonts w:ascii="ProximaNova-Regular" w:cs="ProximaNova-Regular" w:hAnsi="ProximaNova-Regular"/>
      <w:color w:val="000000"/>
      <w:sz w:val="22"/>
      <w:szCs w:val="22"/>
    </w:rPr>
  </w:style>
  <w:style w:type="paragraph" w:styleId="Semestilodepargrafo" w:customStyle="1">
    <w:name w:val="[Sem estilo de parágrafo]"/>
    <w:rsid w:val="000979E5"/>
    <w:pPr>
      <w:widowControl w:val="0"/>
      <w:autoSpaceDE w:val="0"/>
      <w:autoSpaceDN w:val="0"/>
      <w:bidi w:val="1"/>
      <w:adjustRightInd w:val="0"/>
      <w:spacing w:line="288" w:lineRule="auto"/>
      <w:textAlignment w:val="center"/>
    </w:pPr>
    <w:rPr>
      <w:rFonts w:ascii="ProximaNova-Bold" w:hAnsi="ProximaNova-Bold"/>
      <w:color w:val="000000"/>
      <w:lang w:bidi="he-IL" w:eastAsia="en-US" w:val="en-US"/>
    </w:rPr>
  </w:style>
  <w:style w:type="character" w:styleId="Refdecomentrio">
    <w:name w:val="annotation reference"/>
    <w:uiPriority w:val="99"/>
    <w:semiHidden w:val="1"/>
    <w:unhideWhenUsed w:val="1"/>
    <w:rsid w:val="00E2342E"/>
    <w:rPr>
      <w:sz w:val="16"/>
      <w:szCs w:val="16"/>
    </w:rPr>
  </w:style>
  <w:style w:type="paragraph" w:styleId="Textodecomentrio">
    <w:name w:val="annotation text"/>
    <w:basedOn w:val="Normal"/>
    <w:link w:val="TextodecomentrioChar"/>
    <w:uiPriority w:val="99"/>
    <w:unhideWhenUsed w:val="1"/>
    <w:rsid w:val="00E2342E"/>
    <w:rPr>
      <w:sz w:val="20"/>
      <w:szCs w:val="20"/>
    </w:rPr>
  </w:style>
  <w:style w:type="character" w:styleId="TextodecomentrioChar" w:customStyle="1">
    <w:name w:val="Texto de comentário Char"/>
    <w:link w:val="Textodecomentrio"/>
    <w:uiPriority w:val="99"/>
    <w:rsid w:val="00E2342E"/>
    <w:rPr>
      <w:lang w:eastAsia="en-US"/>
    </w:rPr>
  </w:style>
  <w:style w:type="paragraph" w:styleId="Assuntodocomentrio">
    <w:name w:val="annotation subject"/>
    <w:basedOn w:val="Textodecomentrio"/>
    <w:next w:val="Textodecomentrio"/>
    <w:link w:val="AssuntodocomentrioChar"/>
    <w:uiPriority w:val="99"/>
    <w:semiHidden w:val="1"/>
    <w:unhideWhenUsed w:val="1"/>
    <w:rsid w:val="00E2342E"/>
    <w:rPr>
      <w:b w:val="1"/>
      <w:bCs w:val="1"/>
    </w:rPr>
  </w:style>
  <w:style w:type="character" w:styleId="AssuntodocomentrioChar" w:customStyle="1">
    <w:name w:val="Assunto do comentário Char"/>
    <w:link w:val="Assuntodocomentrio"/>
    <w:uiPriority w:val="99"/>
    <w:semiHidden w:val="1"/>
    <w:rsid w:val="00E2342E"/>
    <w:rPr>
      <w:b w:val="1"/>
      <w:bCs w:val="1"/>
      <w:lang w:eastAsia="en-US"/>
    </w:rPr>
  </w:style>
  <w:style w:type="paragraph" w:styleId="Textodebalo">
    <w:name w:val="Balloon Text"/>
    <w:basedOn w:val="Normal"/>
    <w:link w:val="TextodebaloChar"/>
    <w:uiPriority w:val="99"/>
    <w:semiHidden w:val="1"/>
    <w:unhideWhenUsed w:val="1"/>
    <w:rsid w:val="00E2342E"/>
    <w:rPr>
      <w:rFonts w:ascii="Tahoma" w:cs="Tahoma" w:hAnsi="Tahoma"/>
      <w:sz w:val="16"/>
      <w:szCs w:val="16"/>
    </w:rPr>
  </w:style>
  <w:style w:type="character" w:styleId="TextodebaloChar" w:customStyle="1">
    <w:name w:val="Texto de balão Char"/>
    <w:link w:val="Textodebalo"/>
    <w:uiPriority w:val="99"/>
    <w:semiHidden w:val="1"/>
    <w:rsid w:val="00E2342E"/>
    <w:rPr>
      <w:rFonts w:ascii="Tahoma" w:cs="Tahoma" w:hAnsi="Tahoma"/>
      <w:sz w:val="16"/>
      <w:szCs w:val="16"/>
      <w:lang w:eastAsia="en-US"/>
    </w:rPr>
  </w:style>
  <w:style w:type="paragraph" w:styleId="PargrafodaLista">
    <w:name w:val="List Paragraph"/>
    <w:basedOn w:val="Normal"/>
    <w:uiPriority w:val="34"/>
    <w:qFormat w:val="1"/>
    <w:rsid w:val="008D3CCC"/>
    <w:pPr>
      <w:ind w:left="720"/>
    </w:pPr>
    <w:rPr>
      <w:rFonts w:ascii="Calibri" w:cs="Calibri" w:eastAsia="Calibri" w:hAnsi="Calibri"/>
      <w:sz w:val="22"/>
      <w:szCs w:val="22"/>
      <w:lang w:eastAsia="pt-BR"/>
    </w:rPr>
  </w:style>
  <w:style w:type="character" w:styleId="MenoPendente">
    <w:name w:val="Unresolved Mention"/>
    <w:uiPriority w:val="99"/>
    <w:semiHidden w:val="1"/>
    <w:unhideWhenUsed w:val="1"/>
    <w:rsid w:val="00A47250"/>
    <w:rPr>
      <w:color w:val="605e5c"/>
      <w:shd w:color="auto" w:fill="e1dfdd" w:val="clear"/>
    </w:rPr>
  </w:style>
  <w:style w:type="paragraph" w:styleId="Cabealho">
    <w:name w:val="header"/>
    <w:basedOn w:val="Normal"/>
    <w:link w:val="CabealhoChar"/>
    <w:uiPriority w:val="99"/>
    <w:unhideWhenUsed w:val="1"/>
    <w:rsid w:val="00184CA6"/>
    <w:pPr>
      <w:tabs>
        <w:tab w:val="center" w:pos="4252"/>
        <w:tab w:val="right" w:pos="8504"/>
      </w:tabs>
    </w:pPr>
  </w:style>
  <w:style w:type="character" w:styleId="CabealhoChar" w:customStyle="1">
    <w:name w:val="Cabeçalho Char"/>
    <w:link w:val="Cabealho"/>
    <w:uiPriority w:val="99"/>
    <w:rsid w:val="00184CA6"/>
    <w:rPr>
      <w:sz w:val="24"/>
      <w:szCs w:val="24"/>
      <w:lang w:eastAsia="en-US"/>
    </w:rPr>
  </w:style>
  <w:style w:type="paragraph" w:styleId="Rodap">
    <w:name w:val="footer"/>
    <w:basedOn w:val="Normal"/>
    <w:link w:val="RodapChar"/>
    <w:uiPriority w:val="99"/>
    <w:unhideWhenUsed w:val="1"/>
    <w:rsid w:val="00184CA6"/>
    <w:pPr>
      <w:tabs>
        <w:tab w:val="center" w:pos="4252"/>
        <w:tab w:val="right" w:pos="8504"/>
      </w:tabs>
    </w:pPr>
  </w:style>
  <w:style w:type="character" w:styleId="RodapChar" w:customStyle="1">
    <w:name w:val="Rodapé Char"/>
    <w:link w:val="Rodap"/>
    <w:uiPriority w:val="99"/>
    <w:rsid w:val="00184CA6"/>
    <w:rPr>
      <w:sz w:val="24"/>
      <w:szCs w:val="24"/>
      <w:lang w:eastAsia="en-US"/>
    </w:rPr>
  </w:style>
  <w:style w:type="table" w:styleId="a" w:customStyle="1">
    <w:basedOn w:val="TableNormal2"/>
    <w:tblPr>
      <w:tblStyleRowBandSize w:val="1"/>
      <w:tblStyleColBandSize w:val="1"/>
      <w:tblCellMar>
        <w:left w:w="115.0" w:type="dxa"/>
        <w:right w:w="115.0" w:type="dxa"/>
      </w:tblCellMar>
    </w:tblPr>
  </w:style>
  <w:style w:type="table" w:styleId="a0" w:customStyle="1">
    <w:basedOn w:val="TableNormal2"/>
    <w:tblPr>
      <w:tblStyleRowBandSize w:val="1"/>
      <w:tblStyleColBandSize w:val="1"/>
      <w:tblCellMar>
        <w:left w:w="115.0" w:type="dxa"/>
        <w:right w:w="115.0" w:type="dxa"/>
      </w:tblCellMar>
    </w:tblPr>
  </w:style>
  <w:style w:type="table" w:styleId="a1" w:customStyle="1">
    <w:basedOn w:val="TableNormal2"/>
    <w:tblPr>
      <w:tblStyleRowBandSize w:val="1"/>
      <w:tblStyleColBandSize w:val="1"/>
      <w:tblCellMar>
        <w:left w:w="115.0" w:type="dxa"/>
        <w:right w:w="115.0" w:type="dxa"/>
      </w:tblCellMar>
    </w:tblPr>
  </w:style>
  <w:style w:type="table" w:styleId="a2" w:customStyle="1">
    <w:basedOn w:val="TableNormal2"/>
    <w:tblPr>
      <w:tblStyleRowBandSize w:val="1"/>
      <w:tblStyleColBandSize w:val="1"/>
      <w:tblCellMar>
        <w:left w:w="115.0" w:type="dxa"/>
        <w:right w:w="115.0" w:type="dxa"/>
      </w:tblCellMar>
    </w:tblPr>
  </w:style>
  <w:style w:type="table" w:styleId="a3" w:customStyle="1">
    <w:basedOn w:val="TableNormal2"/>
    <w:tblPr>
      <w:tblStyleRowBandSize w:val="1"/>
      <w:tblStyleColBandSize w:val="1"/>
      <w:tblCellMar>
        <w:left w:w="115.0" w:type="dxa"/>
        <w:right w:w="115.0" w:type="dxa"/>
      </w:tblCellMar>
    </w:tblPr>
  </w:style>
  <w:style w:type="table" w:styleId="a4" w:customStyle="1">
    <w:basedOn w:val="TableNormal2"/>
    <w:tblPr>
      <w:tblStyleRowBandSize w:val="1"/>
      <w:tblStyleColBandSize w:val="1"/>
      <w:tblCellMar>
        <w:left w:w="115.0" w:type="dxa"/>
        <w:right w:w="115.0" w:type="dxa"/>
      </w:tblCellMar>
    </w:tblPr>
  </w:style>
  <w:style w:type="table" w:styleId="a5" w:customStyle="1">
    <w:basedOn w:val="TableNormal2"/>
    <w:tblPr>
      <w:tblStyleRowBandSize w:val="1"/>
      <w:tblStyleColBandSize w:val="1"/>
      <w:tblCellMar>
        <w:left w:w="115.0" w:type="dxa"/>
        <w:right w:w="115.0" w:type="dxa"/>
      </w:tblCellMar>
    </w:tblPr>
  </w:style>
  <w:style w:type="table" w:styleId="a6" w:customStyle="1">
    <w:basedOn w:val="TableNormal2"/>
    <w:tblPr>
      <w:tblStyleRowBandSize w:val="1"/>
      <w:tblStyleColBandSize w:val="1"/>
      <w:tblCellMar>
        <w:left w:w="115.0" w:type="dxa"/>
        <w:right w:w="115.0" w:type="dxa"/>
      </w:tblCellMar>
    </w:tblPr>
  </w:style>
  <w:style w:type="table" w:styleId="a7" w:customStyle="1">
    <w:basedOn w:val="TableNormal2"/>
    <w:tblPr>
      <w:tblStyleRowBandSize w:val="1"/>
      <w:tblStyleColBandSize w:val="1"/>
      <w:tblCellMar>
        <w:left w:w="115.0" w:type="dxa"/>
        <w:right w:w="115.0" w:type="dxa"/>
      </w:tblCellMar>
    </w:tbl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2"/>
    <w:tblPr>
      <w:tblStyleRowBandSize w:val="1"/>
      <w:tblStyleColBandSize w:val="1"/>
      <w:tblCellMar>
        <w:left w:w="115.0" w:type="dxa"/>
        <w:right w:w="115.0" w:type="dxa"/>
      </w:tblCellMar>
    </w:tblPr>
  </w:style>
  <w:style w:type="table" w:styleId="af3" w:customStyle="1">
    <w:basedOn w:val="TableNormal2"/>
    <w:tblPr>
      <w:tblStyleRowBandSize w:val="1"/>
      <w:tblStyleColBandSize w:val="1"/>
      <w:tblCellMar>
        <w:left w:w="115.0" w:type="dxa"/>
        <w:right w:w="115.0" w:type="dxa"/>
      </w:tblCellMar>
    </w:tblPr>
  </w:style>
  <w:style w:type="table" w:styleId="af4" w:customStyle="1">
    <w:basedOn w:val="TableNormal2"/>
    <w:tblPr>
      <w:tblStyleRowBandSize w:val="1"/>
      <w:tblStyleColBandSize w:val="1"/>
      <w:tblCellMar>
        <w:left w:w="115.0" w:type="dxa"/>
        <w:right w:w="115.0" w:type="dxa"/>
      </w:tblCellMar>
    </w:tblPr>
  </w:style>
  <w:style w:type="table" w:styleId="af5" w:customStyle="1">
    <w:basedOn w:val="TableNormal2"/>
    <w:tblPr>
      <w:tblStyleRowBandSize w:val="1"/>
      <w:tblStyleColBandSize w:val="1"/>
      <w:tblCellMar>
        <w:left w:w="115.0" w:type="dxa"/>
        <w:right w:w="115.0" w:type="dxa"/>
      </w:tblCellMar>
    </w:tblPr>
  </w:style>
  <w:style w:type="table" w:styleId="af6" w:customStyle="1">
    <w:basedOn w:val="TableNormal2"/>
    <w:tblPr>
      <w:tblStyleRowBandSize w:val="1"/>
      <w:tblStyleColBandSize w:val="1"/>
      <w:tblCellMar>
        <w:left w:w="115.0" w:type="dxa"/>
        <w:right w:w="115.0" w:type="dxa"/>
      </w:tblCellMar>
    </w:tblPr>
  </w:style>
  <w:style w:type="table" w:styleId="af7" w:customStyle="1">
    <w:basedOn w:val="TableNormal2"/>
    <w:tblPr>
      <w:tblStyleRowBandSize w:val="1"/>
      <w:tblStyleColBandSize w:val="1"/>
      <w:tblCellMar>
        <w:left w:w="115.0" w:type="dxa"/>
        <w:right w:w="115.0" w:type="dxa"/>
      </w:tblCellMar>
    </w:tblPr>
  </w:style>
  <w:style w:type="table" w:styleId="af8" w:customStyle="1">
    <w:basedOn w:val="TableNormal2"/>
    <w:tblPr>
      <w:tblStyleRowBandSize w:val="1"/>
      <w:tblStyleColBandSize w:val="1"/>
      <w:tblCellMar>
        <w:left w:w="115.0" w:type="dxa"/>
        <w:right w:w="115.0" w:type="dxa"/>
      </w:tblCellMar>
    </w:tblPr>
  </w:style>
  <w:style w:type="table" w:styleId="af9" w:customStyle="1">
    <w:basedOn w:val="TableNormal2"/>
    <w:tblPr>
      <w:tblStyleRowBandSize w:val="1"/>
      <w:tblStyleColBandSize w:val="1"/>
      <w:tblCellMar>
        <w:left w:w="115.0" w:type="dxa"/>
        <w:right w:w="115.0" w:type="dxa"/>
      </w:tblCellMar>
    </w:tblPr>
  </w:style>
  <w:style w:type="table" w:styleId="afa" w:customStyle="1">
    <w:basedOn w:val="TableNormal2"/>
    <w:tblPr>
      <w:tblStyleRowBandSize w:val="1"/>
      <w:tblStyleColBandSize w:val="1"/>
      <w:tblCellMar>
        <w:left w:w="115.0" w:type="dxa"/>
        <w:right w:w="115.0" w:type="dxa"/>
      </w:tblCellMar>
    </w:tblPr>
  </w:style>
  <w:style w:type="table" w:styleId="afb" w:customStyle="1">
    <w:basedOn w:val="TableNormal2"/>
    <w:tblPr>
      <w:tblStyleRowBandSize w:val="1"/>
      <w:tblStyleColBandSize w:val="1"/>
      <w:tblCellMar>
        <w:left w:w="115.0" w:type="dxa"/>
        <w:right w:w="115.0" w:type="dxa"/>
      </w:tblCellMar>
    </w:tblPr>
  </w:style>
  <w:style w:type="table" w:styleId="afc" w:customStyle="1">
    <w:basedOn w:val="TableNormal2"/>
    <w:tblPr>
      <w:tblStyleRowBandSize w:val="1"/>
      <w:tblStyleColBandSize w:val="1"/>
      <w:tblCellMar>
        <w:left w:w="115.0" w:type="dxa"/>
        <w:right w:w="115.0" w:type="dxa"/>
      </w:tblCellMar>
    </w:tblPr>
  </w:style>
  <w:style w:type="table" w:styleId="afd" w:customStyle="1">
    <w:basedOn w:val="TableNormal2"/>
    <w:tblPr>
      <w:tblStyleRowBandSize w:val="1"/>
      <w:tblStyleColBandSize w:val="1"/>
      <w:tblCellMar>
        <w:left w:w="115.0" w:type="dxa"/>
        <w:right w:w="115.0" w:type="dxa"/>
      </w:tblCellMar>
    </w:tblPr>
  </w:style>
  <w:style w:type="table" w:styleId="afe" w:customStyle="1">
    <w:basedOn w:val="TableNormal2"/>
    <w:tblPr>
      <w:tblStyleRowBandSize w:val="1"/>
      <w:tblStyleColBandSize w:val="1"/>
      <w:tblCellMar>
        <w:left w:w="115.0" w:type="dxa"/>
        <w:right w:w="115.0" w:type="dxa"/>
      </w:tblCellMar>
    </w:tblPr>
  </w:style>
  <w:style w:type="table" w:styleId="aff" w:customStyle="1">
    <w:basedOn w:val="TableNormal2"/>
    <w:tblPr>
      <w:tblStyleRowBandSize w:val="1"/>
      <w:tblStyleColBandSize w:val="1"/>
      <w:tblCellMar>
        <w:left w:w="115.0" w:type="dxa"/>
        <w:right w:w="115.0" w:type="dxa"/>
      </w:tblCellMar>
    </w:tblPr>
  </w:style>
  <w:style w:type="table" w:styleId="aff0" w:customStyle="1">
    <w:basedOn w:val="TableNormal2"/>
    <w:tblPr>
      <w:tblStyleRowBandSize w:val="1"/>
      <w:tblStyleColBandSize w:val="1"/>
      <w:tblCellMar>
        <w:left w:w="115.0" w:type="dxa"/>
        <w:right w:w="115.0" w:type="dxa"/>
      </w:tblCellMar>
    </w:tblPr>
  </w:style>
  <w:style w:type="table" w:styleId="aff1" w:customStyle="1">
    <w:basedOn w:val="TableNormal2"/>
    <w:tblPr>
      <w:tblStyleRowBandSize w:val="1"/>
      <w:tblStyleColBandSize w:val="1"/>
      <w:tblCellMar>
        <w:left w:w="115.0" w:type="dxa"/>
        <w:right w:w="115.0" w:type="dxa"/>
      </w:tblCellMar>
    </w:tblPr>
  </w:style>
  <w:style w:type="table" w:styleId="aff2" w:customStyle="1">
    <w:basedOn w:val="TableNormal2"/>
    <w:tblPr>
      <w:tblStyleRowBandSize w:val="1"/>
      <w:tblStyleColBandSize w:val="1"/>
      <w:tblCellMar>
        <w:left w:w="115.0" w:type="dxa"/>
        <w:right w:w="115.0" w:type="dxa"/>
      </w:tblCellMar>
    </w:tblPr>
  </w:style>
  <w:style w:type="table" w:styleId="aff3" w:customStyle="1">
    <w:basedOn w:val="TableNormal2"/>
    <w:tblPr>
      <w:tblStyleRowBandSize w:val="1"/>
      <w:tblStyleColBandSize w:val="1"/>
      <w:tblCellMar>
        <w:left w:w="115.0" w:type="dxa"/>
        <w:right w:w="115.0" w:type="dxa"/>
      </w:tblCellMar>
    </w:tblPr>
  </w:style>
  <w:style w:type="table" w:styleId="aff4" w:customStyle="1">
    <w:basedOn w:val="TableNormal2"/>
    <w:tblPr>
      <w:tblStyleRowBandSize w:val="1"/>
      <w:tblStyleColBandSize w:val="1"/>
      <w:tblCellMar>
        <w:left w:w="115.0" w:type="dxa"/>
        <w:right w:w="115.0" w:type="dxa"/>
      </w:tblCellMar>
    </w:tblPr>
  </w:style>
  <w:style w:type="table" w:styleId="aff5" w:customStyle="1">
    <w:basedOn w:val="TableNormal2"/>
    <w:tblPr>
      <w:tblStyleRowBandSize w:val="1"/>
      <w:tblStyleColBandSize w:val="1"/>
      <w:tblCellMar>
        <w:left w:w="115.0" w:type="dxa"/>
        <w:right w:w="115.0" w:type="dxa"/>
      </w:tblCellMar>
    </w:tblPr>
  </w:style>
  <w:style w:type="table" w:styleId="aff6" w:customStyle="1">
    <w:basedOn w:val="TableNormal2"/>
    <w:tblPr>
      <w:tblStyleRowBandSize w:val="1"/>
      <w:tblStyleColBandSize w:val="1"/>
      <w:tblCellMar>
        <w:left w:w="115.0" w:type="dxa"/>
        <w:right w:w="115.0" w:type="dxa"/>
      </w:tblCellMar>
    </w:tblPr>
  </w:style>
  <w:style w:type="table" w:styleId="aff7" w:customStyle="1">
    <w:basedOn w:val="TableNormal2"/>
    <w:tblPr>
      <w:tblStyleRowBandSize w:val="1"/>
      <w:tblStyleColBandSize w:val="1"/>
      <w:tblCellMar>
        <w:left w:w="115.0" w:type="dxa"/>
        <w:right w:w="115.0" w:type="dxa"/>
      </w:tblCellMar>
    </w:tblPr>
  </w:style>
  <w:style w:type="table" w:styleId="aff8" w:customStyle="1">
    <w:basedOn w:val="TableNormal2"/>
    <w:tblPr>
      <w:tblStyleRowBandSize w:val="1"/>
      <w:tblStyleColBandSize w:val="1"/>
      <w:tblCellMar>
        <w:left w:w="115.0" w:type="dxa"/>
        <w:right w:w="115.0" w:type="dxa"/>
      </w:tblCellMar>
    </w:tblPr>
  </w:style>
  <w:style w:type="table" w:styleId="aff9" w:customStyle="1">
    <w:basedOn w:val="TableNormal2"/>
    <w:tblPr>
      <w:tblStyleRowBandSize w:val="1"/>
      <w:tblStyleColBandSize w:val="1"/>
      <w:tblCellMar>
        <w:left w:w="115.0" w:type="dxa"/>
        <w:right w:w="115.0" w:type="dxa"/>
      </w:tblCellMar>
    </w:tblPr>
  </w:style>
  <w:style w:type="table" w:styleId="affa" w:customStyle="1">
    <w:basedOn w:val="TableNormal2"/>
    <w:tblPr>
      <w:tblStyleRowBandSize w:val="1"/>
      <w:tblStyleColBandSize w:val="1"/>
      <w:tblCellMar>
        <w:left w:w="115.0" w:type="dxa"/>
        <w:right w:w="115.0" w:type="dxa"/>
      </w:tblCellMar>
    </w:tblPr>
  </w:style>
  <w:style w:type="table" w:styleId="affb" w:customStyle="1">
    <w:basedOn w:val="TableNormal2"/>
    <w:tblPr>
      <w:tblStyleRowBandSize w:val="1"/>
      <w:tblStyleColBandSize w:val="1"/>
      <w:tblCellMar>
        <w:left w:w="115.0" w:type="dxa"/>
        <w:right w:w="115.0" w:type="dxa"/>
      </w:tblCellMar>
    </w:tblPr>
  </w:style>
  <w:style w:type="table" w:styleId="affc" w:customStyle="1">
    <w:basedOn w:val="TableNormal2"/>
    <w:tblPr>
      <w:tblStyleRowBandSize w:val="1"/>
      <w:tblStyleColBandSize w:val="1"/>
      <w:tblCellMar>
        <w:left w:w="115.0" w:type="dxa"/>
        <w:right w:w="115.0" w:type="dxa"/>
      </w:tblCellMar>
    </w:tblPr>
  </w:style>
  <w:style w:type="table" w:styleId="affd" w:customStyle="1">
    <w:basedOn w:val="TableNormal2"/>
    <w:tblPr>
      <w:tblStyleRowBandSize w:val="1"/>
      <w:tblStyleColBandSize w:val="1"/>
      <w:tblCellMar>
        <w:left w:w="115.0" w:type="dxa"/>
        <w:right w:w="115.0" w:type="dxa"/>
      </w:tblCellMar>
    </w:tblPr>
  </w:style>
  <w:style w:type="table" w:styleId="affe" w:customStyle="1">
    <w:basedOn w:val="TableNormal2"/>
    <w:tblPr>
      <w:tblStyleRowBandSize w:val="1"/>
      <w:tblStyleColBandSize w:val="1"/>
      <w:tblCellMar>
        <w:left w:w="115.0" w:type="dxa"/>
        <w:right w:w="115.0" w:type="dxa"/>
      </w:tblCellMar>
    </w:tblPr>
  </w:style>
  <w:style w:type="table" w:styleId="afff" w:customStyle="1">
    <w:basedOn w:val="TableNormal2"/>
    <w:tblPr>
      <w:tblStyleRowBandSize w:val="1"/>
      <w:tblStyleColBandSize w:val="1"/>
      <w:tblCellMar>
        <w:left w:w="115.0" w:type="dxa"/>
        <w:right w:w="115.0" w:type="dxa"/>
      </w:tblCellMar>
    </w:tblPr>
  </w:style>
  <w:style w:type="table" w:styleId="afff0" w:customStyle="1">
    <w:basedOn w:val="TableNormal2"/>
    <w:tblPr>
      <w:tblStyleRowBandSize w:val="1"/>
      <w:tblStyleColBandSize w:val="1"/>
      <w:tblCellMar>
        <w:left w:w="115.0" w:type="dxa"/>
        <w:right w:w="115.0" w:type="dxa"/>
      </w:tblCellMar>
    </w:tblPr>
  </w:style>
  <w:style w:type="table" w:styleId="afff1" w:customStyle="1">
    <w:basedOn w:val="TableNormal2"/>
    <w:tblPr>
      <w:tblStyleRowBandSize w:val="1"/>
      <w:tblStyleColBandSize w:val="1"/>
      <w:tblCellMar>
        <w:left w:w="115.0" w:type="dxa"/>
        <w:right w:w="115.0" w:type="dxa"/>
      </w:tblCellMar>
    </w:tblPr>
  </w:style>
  <w:style w:type="table" w:styleId="afff2" w:customStyle="1">
    <w:basedOn w:val="TableNormal2"/>
    <w:tblPr>
      <w:tblStyleRowBandSize w:val="1"/>
      <w:tblStyleColBandSize w:val="1"/>
      <w:tblCellMar>
        <w:left w:w="115.0" w:type="dxa"/>
        <w:right w:w="115.0" w:type="dxa"/>
      </w:tblCellMar>
    </w:tblPr>
  </w:style>
  <w:style w:type="table" w:styleId="afff3" w:customStyle="1">
    <w:basedOn w:val="TableNormal2"/>
    <w:tblPr>
      <w:tblStyleRowBandSize w:val="1"/>
      <w:tblStyleColBandSize w:val="1"/>
      <w:tblCellMar>
        <w:left w:w="115.0" w:type="dxa"/>
        <w:right w:w="115.0" w:type="dxa"/>
      </w:tblCellMar>
    </w:tblPr>
  </w:style>
  <w:style w:type="table" w:styleId="afff4" w:customStyle="1">
    <w:basedOn w:val="TableNormal2"/>
    <w:tblPr>
      <w:tblStyleRowBandSize w:val="1"/>
      <w:tblStyleColBandSize w:val="1"/>
      <w:tblCellMar>
        <w:left w:w="115.0" w:type="dxa"/>
        <w:right w:w="115.0" w:type="dxa"/>
      </w:tblCellMar>
    </w:tblPr>
  </w:style>
  <w:style w:type="table" w:styleId="afff5" w:customStyle="1">
    <w:basedOn w:val="TableNormal2"/>
    <w:tblPr>
      <w:tblStyleRowBandSize w:val="1"/>
      <w:tblStyleColBandSize w:val="1"/>
      <w:tblCellMar>
        <w:left w:w="115.0" w:type="dxa"/>
        <w:right w:w="115.0" w:type="dxa"/>
      </w:tblCellMar>
    </w:tblPr>
  </w:style>
  <w:style w:type="table" w:styleId="afff6" w:customStyle="1">
    <w:basedOn w:val="TableNormal2"/>
    <w:tblPr>
      <w:tblStyleRowBandSize w:val="1"/>
      <w:tblStyleColBandSize w:val="1"/>
      <w:tblCellMar>
        <w:left w:w="115.0" w:type="dxa"/>
        <w:right w:w="115.0" w:type="dxa"/>
      </w:tblCellMar>
    </w:tblPr>
  </w:style>
  <w:style w:type="table" w:styleId="afff7" w:customStyle="1">
    <w:basedOn w:val="TableNormal2"/>
    <w:tblPr>
      <w:tblStyleRowBandSize w:val="1"/>
      <w:tblStyleColBandSize w:val="1"/>
      <w:tblCellMar>
        <w:left w:w="115.0" w:type="dxa"/>
        <w:right w:w="115.0" w:type="dxa"/>
      </w:tblCellMar>
    </w:tblPr>
  </w:style>
  <w:style w:type="table" w:styleId="afff8" w:customStyle="1">
    <w:basedOn w:val="TableNormal2"/>
    <w:tblPr>
      <w:tblStyleRowBandSize w:val="1"/>
      <w:tblStyleColBandSize w:val="1"/>
      <w:tblCellMar>
        <w:left w:w="115.0" w:type="dxa"/>
        <w:right w:w="115.0" w:type="dxa"/>
      </w:tblCellMar>
    </w:tblPr>
  </w:style>
  <w:style w:type="table" w:styleId="afff9" w:customStyle="1">
    <w:basedOn w:val="TableNormal2"/>
    <w:tblPr>
      <w:tblStyleRowBandSize w:val="1"/>
      <w:tblStyleColBandSize w:val="1"/>
      <w:tblCellMar>
        <w:left w:w="115.0" w:type="dxa"/>
        <w:right w:w="115.0" w:type="dxa"/>
      </w:tblCellMar>
    </w:tblPr>
  </w:style>
  <w:style w:type="table" w:styleId="afffa" w:customStyle="1">
    <w:basedOn w:val="TableNormal2"/>
    <w:tblPr>
      <w:tblStyleRowBandSize w:val="1"/>
      <w:tblStyleColBandSize w:val="1"/>
      <w:tblCellMar>
        <w:left w:w="115.0" w:type="dxa"/>
        <w:right w:w="115.0" w:type="dxa"/>
      </w:tblCellMar>
    </w:tblPr>
  </w:style>
  <w:style w:type="table" w:styleId="afffb" w:customStyle="1">
    <w:basedOn w:val="TableNormal2"/>
    <w:tblPr>
      <w:tblStyleRowBandSize w:val="1"/>
      <w:tblStyleColBandSize w:val="1"/>
      <w:tblCellMar>
        <w:left w:w="115.0" w:type="dxa"/>
        <w:right w:w="115.0" w:type="dxa"/>
      </w:tblCellMar>
    </w:tblPr>
  </w:style>
  <w:style w:type="table" w:styleId="afffc" w:customStyle="1">
    <w:basedOn w:val="TableNormal2"/>
    <w:tblPr>
      <w:tblStyleRowBandSize w:val="1"/>
      <w:tblStyleColBandSize w:val="1"/>
      <w:tblCellMar>
        <w:left w:w="115.0" w:type="dxa"/>
        <w:right w:w="115.0" w:type="dxa"/>
      </w:tblCellMar>
    </w:tblPr>
  </w:style>
  <w:style w:type="table" w:styleId="afffd" w:customStyle="1">
    <w:basedOn w:val="TableNormal2"/>
    <w:tblPr>
      <w:tblStyleRowBandSize w:val="1"/>
      <w:tblStyleColBandSize w:val="1"/>
      <w:tblCellMar>
        <w:left w:w="115.0" w:type="dxa"/>
        <w:right w:w="115.0" w:type="dxa"/>
      </w:tblCellMar>
    </w:tblPr>
  </w:style>
  <w:style w:type="table" w:styleId="afffe" w:customStyle="1">
    <w:basedOn w:val="TableNormal2"/>
    <w:tblPr>
      <w:tblStyleRowBandSize w:val="1"/>
      <w:tblStyleColBandSize w:val="1"/>
      <w:tblCellMar>
        <w:left w:w="115.0" w:type="dxa"/>
        <w:right w:w="115.0" w:type="dxa"/>
      </w:tblCellMar>
    </w:tblPr>
  </w:style>
  <w:style w:type="table" w:styleId="affff" w:customStyle="1">
    <w:basedOn w:val="TableNormal2"/>
    <w:tblPr>
      <w:tblStyleRowBandSize w:val="1"/>
      <w:tblStyleColBandSize w:val="1"/>
      <w:tblCellMar>
        <w:left w:w="115.0" w:type="dxa"/>
        <w:right w:w="115.0" w:type="dxa"/>
      </w:tblCellMar>
    </w:tblPr>
  </w:style>
  <w:style w:type="table" w:styleId="affff0" w:customStyle="1">
    <w:basedOn w:val="TableNormal2"/>
    <w:tblPr>
      <w:tblStyleRowBandSize w:val="1"/>
      <w:tblStyleColBandSize w:val="1"/>
      <w:tblCellMar>
        <w:left w:w="115.0" w:type="dxa"/>
        <w:right w:w="115.0" w:type="dxa"/>
      </w:tblCellMar>
    </w:tblPr>
  </w:style>
  <w:style w:type="table" w:styleId="affff1" w:customStyle="1">
    <w:basedOn w:val="TableNormal2"/>
    <w:tblPr>
      <w:tblStyleRowBandSize w:val="1"/>
      <w:tblStyleColBandSize w:val="1"/>
      <w:tblCellMar>
        <w:left w:w="115.0" w:type="dxa"/>
        <w:right w:w="115.0" w:type="dxa"/>
      </w:tblCellMar>
    </w:tblPr>
  </w:style>
  <w:style w:type="table" w:styleId="affff2" w:customStyle="1">
    <w:basedOn w:val="TableNormal2"/>
    <w:tblPr>
      <w:tblStyleRowBandSize w:val="1"/>
      <w:tblStyleColBandSize w:val="1"/>
      <w:tblCellMar>
        <w:left w:w="115.0" w:type="dxa"/>
        <w:right w:w="115.0" w:type="dxa"/>
      </w:tblCellMar>
    </w:tblPr>
  </w:style>
  <w:style w:type="table" w:styleId="affff3" w:customStyle="1">
    <w:basedOn w:val="TableNormal2"/>
    <w:tblPr>
      <w:tblStyleRowBandSize w:val="1"/>
      <w:tblStyleColBandSize w:val="1"/>
      <w:tblCellMar>
        <w:left w:w="115.0" w:type="dxa"/>
        <w:right w:w="115.0" w:type="dxa"/>
      </w:tblCellMar>
    </w:tblPr>
  </w:style>
  <w:style w:type="table" w:styleId="affff4" w:customStyle="1">
    <w:basedOn w:val="TableNormal2"/>
    <w:tblPr>
      <w:tblStyleRowBandSize w:val="1"/>
      <w:tblStyleColBandSize w:val="1"/>
      <w:tblCellMar>
        <w:left w:w="115.0" w:type="dxa"/>
        <w:right w:w="115.0" w:type="dxa"/>
      </w:tblCellMar>
    </w:tblPr>
  </w:style>
  <w:style w:type="table" w:styleId="affff5" w:customStyle="1">
    <w:basedOn w:val="TableNormal2"/>
    <w:tblPr>
      <w:tblStyleRowBandSize w:val="1"/>
      <w:tblStyleColBandSize w:val="1"/>
      <w:tblCellMar>
        <w:left w:w="115.0" w:type="dxa"/>
        <w:right w:w="115.0" w:type="dxa"/>
      </w:tblCellMar>
    </w:tblPr>
  </w:style>
  <w:style w:type="table" w:styleId="affff6" w:customStyle="1">
    <w:basedOn w:val="TableNormal2"/>
    <w:tblPr>
      <w:tblStyleRowBandSize w:val="1"/>
      <w:tblStyleColBandSize w:val="1"/>
      <w:tblCellMar>
        <w:left w:w="115.0" w:type="dxa"/>
        <w:right w:w="115.0" w:type="dxa"/>
      </w:tblCellMar>
    </w:tblPr>
  </w:style>
  <w:style w:type="table" w:styleId="affff7" w:customStyle="1">
    <w:basedOn w:val="TableNormal2"/>
    <w:tblPr>
      <w:tblStyleRowBandSize w:val="1"/>
      <w:tblStyleColBandSize w:val="1"/>
      <w:tblCellMar>
        <w:left w:w="115.0" w:type="dxa"/>
        <w:right w:w="115.0" w:type="dxa"/>
      </w:tblCellMar>
    </w:tblPr>
  </w:style>
  <w:style w:type="table" w:styleId="affff8" w:customStyle="1">
    <w:basedOn w:val="TableNormal2"/>
    <w:tblPr>
      <w:tblStyleRowBandSize w:val="1"/>
      <w:tblStyleColBandSize w:val="1"/>
      <w:tblCellMar>
        <w:left w:w="115.0" w:type="dxa"/>
        <w:right w:w="115.0" w:type="dxa"/>
      </w:tblCellMar>
    </w:tblPr>
  </w:style>
  <w:style w:type="table" w:styleId="affff9" w:customStyle="1">
    <w:basedOn w:val="TableNormal2"/>
    <w:tblPr>
      <w:tblStyleRowBandSize w:val="1"/>
      <w:tblStyleColBandSize w:val="1"/>
      <w:tblCellMar>
        <w:left w:w="115.0" w:type="dxa"/>
        <w:right w:w="115.0" w:type="dxa"/>
      </w:tblCellMar>
    </w:tblPr>
  </w:style>
  <w:style w:type="table" w:styleId="affffa" w:customStyle="1">
    <w:basedOn w:val="TableNormal2"/>
    <w:tblPr>
      <w:tblStyleRowBandSize w:val="1"/>
      <w:tblStyleColBandSize w:val="1"/>
      <w:tblCellMar>
        <w:left w:w="115.0" w:type="dxa"/>
        <w:right w:w="115.0" w:type="dxa"/>
      </w:tblCellMar>
    </w:tblPr>
  </w:style>
  <w:style w:type="table" w:styleId="affffb" w:customStyle="1">
    <w:basedOn w:val="TableNormal2"/>
    <w:tblPr>
      <w:tblStyleRowBandSize w:val="1"/>
      <w:tblStyleColBandSize w:val="1"/>
      <w:tblCellMar>
        <w:left w:w="115.0" w:type="dxa"/>
        <w:right w:w="115.0" w:type="dxa"/>
      </w:tblCellMar>
    </w:tblPr>
  </w:style>
  <w:style w:type="table" w:styleId="affffc" w:customStyle="1">
    <w:basedOn w:val="TableNormal2"/>
    <w:tblPr>
      <w:tblStyleRowBandSize w:val="1"/>
      <w:tblStyleColBandSize w:val="1"/>
      <w:tblCellMar>
        <w:left w:w="115.0" w:type="dxa"/>
        <w:right w:w="115.0" w:type="dxa"/>
      </w:tblCellMar>
    </w:tblPr>
  </w:style>
  <w:style w:type="table" w:styleId="affffd" w:customStyle="1">
    <w:basedOn w:val="TableNormal2"/>
    <w:tblPr>
      <w:tblStyleRowBandSize w:val="1"/>
      <w:tblStyleColBandSize w:val="1"/>
      <w:tblCellMar>
        <w:left w:w="108.0" w:type="dxa"/>
        <w:right w:w="108.0" w:type="dxa"/>
      </w:tblCellMar>
    </w:tblPr>
  </w:style>
  <w:style w:type="table" w:styleId="affffe" w:customStyle="1">
    <w:basedOn w:val="TableNormal2"/>
    <w:tblPr>
      <w:tblStyleRowBandSize w:val="1"/>
      <w:tblStyleColBandSize w:val="1"/>
      <w:tblCellMar>
        <w:left w:w="108.0" w:type="dxa"/>
        <w:right w:w="108.0" w:type="dxa"/>
      </w:tblCellMar>
    </w:tblPr>
  </w:style>
  <w:style w:type="table" w:styleId="afffff" w:customStyle="1">
    <w:basedOn w:val="TableNormal2"/>
    <w:tblPr>
      <w:tblStyleRowBandSize w:val="1"/>
      <w:tblStyleColBandSize w:val="1"/>
      <w:tblCellMar>
        <w:left w:w="108.0" w:type="dxa"/>
        <w:right w:w="108.0" w:type="dxa"/>
      </w:tblCellMar>
    </w:tblPr>
  </w:style>
  <w:style w:type="table" w:styleId="afffff0" w:customStyle="1">
    <w:basedOn w:val="TableNormal2"/>
    <w:tblPr>
      <w:tblStyleRowBandSize w:val="1"/>
      <w:tblStyleColBandSize w:val="1"/>
      <w:tblCellMar>
        <w:left w:w="115.0" w:type="dxa"/>
        <w:right w:w="115.0" w:type="dxa"/>
      </w:tblCellMar>
    </w:tblPr>
  </w:style>
  <w:style w:type="table" w:styleId="afffff1" w:customStyle="1">
    <w:basedOn w:val="TableNormal2"/>
    <w:tblPr>
      <w:tblStyleRowBandSize w:val="1"/>
      <w:tblStyleColBandSize w:val="1"/>
      <w:tblCellMar>
        <w:left w:w="115.0" w:type="dxa"/>
        <w:right w:w="115.0" w:type="dxa"/>
      </w:tblCellMar>
    </w:tblPr>
  </w:style>
  <w:style w:type="table" w:styleId="afffff2" w:customStyle="1">
    <w:basedOn w:val="TableNormal2"/>
    <w:tblPr>
      <w:tblStyleRowBandSize w:val="1"/>
      <w:tblStyleColBandSize w:val="1"/>
      <w:tblCellMar>
        <w:left w:w="115.0" w:type="dxa"/>
        <w:right w:w="115.0" w:type="dxa"/>
      </w:tblCellMar>
    </w:tblPr>
  </w:style>
  <w:style w:type="table" w:styleId="afffff3" w:customStyle="1">
    <w:basedOn w:val="TableNormal2"/>
    <w:tblPr>
      <w:tblStyleRowBandSize w:val="1"/>
      <w:tblStyleColBandSize w:val="1"/>
      <w:tblCellMar>
        <w:left w:w="115.0" w:type="dxa"/>
        <w:right w:w="115.0" w:type="dxa"/>
      </w:tblCellMar>
    </w:tblPr>
  </w:style>
  <w:style w:type="table" w:styleId="afffff4" w:customStyle="1">
    <w:basedOn w:val="TableNormal2"/>
    <w:tblPr>
      <w:tblStyleRowBandSize w:val="1"/>
      <w:tblStyleColBandSize w:val="1"/>
      <w:tblCellMar>
        <w:left w:w="115.0" w:type="dxa"/>
        <w:right w:w="115.0" w:type="dxa"/>
      </w:tblCellMar>
    </w:tblPr>
  </w:style>
  <w:style w:type="table" w:styleId="afffff5" w:customStyle="1">
    <w:basedOn w:val="TableNormal2"/>
    <w:tblPr>
      <w:tblStyleRowBandSize w:val="1"/>
      <w:tblStyleColBandSize w:val="1"/>
      <w:tblCellMar>
        <w:left w:w="115.0" w:type="dxa"/>
        <w:right w:w="115.0" w:type="dxa"/>
      </w:tblCellMar>
    </w:tblPr>
  </w:style>
  <w:style w:type="table" w:styleId="afffff6" w:customStyle="1">
    <w:basedOn w:val="TableNormal2"/>
    <w:tblPr>
      <w:tblStyleRowBandSize w:val="1"/>
      <w:tblStyleColBandSize w:val="1"/>
      <w:tblCellMar>
        <w:left w:w="115.0" w:type="dxa"/>
        <w:right w:w="115.0" w:type="dxa"/>
      </w:tblCellMar>
    </w:tblPr>
  </w:style>
  <w:style w:type="table" w:styleId="afffff7" w:customStyle="1">
    <w:basedOn w:val="TableNormal2"/>
    <w:tblPr>
      <w:tblStyleRowBandSize w:val="1"/>
      <w:tblStyleColBandSize w:val="1"/>
      <w:tblCellMar>
        <w:left w:w="115.0" w:type="dxa"/>
        <w:right w:w="115.0" w:type="dxa"/>
      </w:tblCellMar>
    </w:tblPr>
  </w:style>
  <w:style w:type="table" w:styleId="afffff8" w:customStyle="1">
    <w:basedOn w:val="TableNormal2"/>
    <w:tblPr>
      <w:tblStyleRowBandSize w:val="1"/>
      <w:tblStyleColBandSize w:val="1"/>
      <w:tblCellMar>
        <w:left w:w="115.0" w:type="dxa"/>
        <w:right w:w="115.0" w:type="dxa"/>
      </w:tblCellMar>
    </w:tblPr>
  </w:style>
  <w:style w:type="table" w:styleId="afffff9" w:customStyle="1">
    <w:basedOn w:val="TableNormal2"/>
    <w:tblPr>
      <w:tblStyleRowBandSize w:val="1"/>
      <w:tblStyleColBandSize w:val="1"/>
      <w:tblCellMar>
        <w:left w:w="115.0" w:type="dxa"/>
        <w:right w:w="115.0" w:type="dxa"/>
      </w:tblCellMar>
    </w:tblPr>
  </w:style>
  <w:style w:type="table" w:styleId="afffffa" w:customStyle="1">
    <w:basedOn w:val="TableNormal2"/>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115.0" w:type="dxa"/>
        <w:right w:w="115.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paragraph" w:styleId="Reviso">
    <w:name w:val="Revision"/>
    <w:hidden w:val="1"/>
    <w:uiPriority w:val="99"/>
    <w:semiHidden w:val="1"/>
    <w:rsid w:val="007271F0"/>
    <w:rPr>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Ys2zi1HzO/9v8ZfF5xmPaMxD6w==">CgMxLjA4AHIhMUxGdHJlNHMzN056QW5TdUVaUFFra3lCU3pfSFJ5ZW9O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2026-09-15T12:33:00Z</dcterms:created>
  <dc:creator>Roberta Bassanetto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0x010100F31BBAD482609345A83E35449E6B0C05</vt:lpwstr>
  </property>
  <property fmtid="{D5CDD505-2E9C-101B-9397-08002B2CF9AE}" pid="3" name="MediaServiceImageTags">
    <vt:lpwstr/>
  </property>
</Properties>
</file>